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DB" w:rsidRPr="0026699C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jc w:val="center"/>
        <w:rPr>
          <w:rFonts w:ascii="微软雅黑" w:eastAsia="微软雅黑" w:hAnsi="微软雅黑"/>
          <w:color w:val="333333"/>
          <w:sz w:val="28"/>
          <w:szCs w:val="28"/>
        </w:rPr>
      </w:pPr>
      <w:r w:rsidRPr="0026699C">
        <w:rPr>
          <w:rFonts w:ascii="微软雅黑" w:eastAsia="微软雅黑" w:hAnsi="微软雅黑" w:hint="eastAsia"/>
          <w:color w:val="FF0000"/>
          <w:sz w:val="28"/>
          <w:szCs w:val="28"/>
        </w:rPr>
        <w:t>最高人民法院印发《</w:t>
      </w:r>
      <w:r w:rsidRPr="0026699C">
        <w:rPr>
          <w:rFonts w:ascii="微软雅黑" w:eastAsia="微软雅黑" w:hAnsi="微软雅黑" w:hint="eastAsia"/>
          <w:b/>
          <w:color w:val="FF0000"/>
          <w:sz w:val="28"/>
          <w:szCs w:val="28"/>
          <w:highlight w:val="yellow"/>
        </w:rPr>
        <w:t>关于人民法院审理借贷案件的若干意见</w:t>
      </w:r>
      <w:r w:rsidRPr="0026699C">
        <w:rPr>
          <w:rFonts w:ascii="微软雅黑" w:eastAsia="微软雅黑" w:hAnsi="微软雅黑" w:hint="eastAsia"/>
          <w:color w:val="FF0000"/>
          <w:sz w:val="28"/>
          <w:szCs w:val="28"/>
        </w:rPr>
        <w:t>》的通知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0000FF"/>
          <w:sz w:val="23"/>
          <w:szCs w:val="23"/>
        </w:rPr>
        <w:t>法(民)(1991)21号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      1991-08-13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——依据 </w:t>
      </w:r>
      <w:hyperlink r:id="rId6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法释[2015]18号 最高人民法院关于审理民间借贷案件适用法律若干问题规定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，本法规自2015年9月1日起全文废止。</w:t>
      </w:r>
      <w:r w:rsidR="0026699C" w:rsidRPr="0026699C">
        <w:rPr>
          <w:rFonts w:ascii="微软雅黑" w:eastAsia="微软雅黑" w:hAnsi="微软雅黑" w:hint="eastAsia"/>
          <w:color w:val="333333"/>
          <w:sz w:val="20"/>
          <w:szCs w:val="20"/>
        </w:rPr>
        <w:t>（1991年7月2日最高人民法院审判委员会第502次会议讨论通过）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人民法院审理借贷案件，应按照自愿、互利、公平、合法的原则，保护债权人和债务人的合法权益，限制高利率。根据审判实践经验，现提出以下意见，供审理此类案件时参照执行。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一、公民之间的借贷纠纷，公民与法人之间的借贷纠纷以及公民与其他组织之间的借贷纠纷，应作为借贷案件受理。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二、因借贷外币、台币和国库券等有价证券发生纠纷诉讼到法院的，应按借贷案件受理。</w:t>
      </w:r>
    </w:p>
    <w:p w:rsidR="009E56DB" w:rsidRPr="00281E70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C00000"/>
          <w:sz w:val="23"/>
          <w:szCs w:val="23"/>
        </w:rPr>
      </w:pPr>
      <w:r w:rsidRPr="00281E70">
        <w:rPr>
          <w:rFonts w:ascii="微软雅黑" w:eastAsia="微软雅黑" w:hAnsi="微软雅黑" w:hint="eastAsia"/>
          <w:color w:val="C00000"/>
          <w:sz w:val="23"/>
          <w:szCs w:val="23"/>
        </w:rPr>
        <w:t xml:space="preserve">　　三、对于借贷关系明确，债权人申请支付令的，人民法院应按照民事诉讼法关于督促程序的有关规定审查受理。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四、人民法院审查借贷案件的起诉时，根据民事诉讼法第一百零八条的规定，应要求原告提供书面借据;无书面借据的，应提供必要的事实根据，对于不具备上述条件的起诉，裁定不予受理。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五、债权人起诉时，债务人下落不明的，由债务人原住所地或其财产所在地法院管辖。法院应要求债权人提供证明借贷关系存在的证据，受理后公告传唤债务人应诉，公告期限届满，债务人仍不应诉，借贷关系明确的，经审理后可缺席判决;借贷关系无法查明的，裁定中止诉讼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在审理中债务人出走，下落不明，借贷关系明确的，可以缺席判决;事实难以查清的，裁定中止诉讼。</w:t>
      </w:r>
    </w:p>
    <w:p w:rsidR="009E56DB" w:rsidRPr="006515FF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0070C0"/>
          <w:sz w:val="23"/>
          <w:szCs w:val="23"/>
        </w:rPr>
      </w:pPr>
      <w:r w:rsidRPr="006515FF">
        <w:rPr>
          <w:rFonts w:ascii="微软雅黑" w:eastAsia="微软雅黑" w:hAnsi="微软雅黑" w:hint="eastAsia"/>
          <w:color w:val="0070C0"/>
          <w:sz w:val="23"/>
          <w:szCs w:val="23"/>
        </w:rPr>
        <w:t xml:space="preserve">　　六、民间借贷的利率可以适当高于银行的利率，各地人民法院可根据本地区的实际情况具体掌握，但最高不得超过银行同类贷款利率的四倍(包含利率本数)。超出此限度的，超出部分的利息不予保护。</w:t>
      </w:r>
    </w:p>
    <w:p w:rsidR="009E56DB" w:rsidRPr="006515FF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0070C0"/>
          <w:sz w:val="23"/>
          <w:szCs w:val="23"/>
        </w:rPr>
      </w:pPr>
      <w:r w:rsidRPr="006515FF">
        <w:rPr>
          <w:rFonts w:ascii="微软雅黑" w:eastAsia="微软雅黑" w:hAnsi="微软雅黑" w:hint="eastAsia"/>
          <w:color w:val="0070C0"/>
          <w:sz w:val="23"/>
          <w:szCs w:val="23"/>
        </w:rPr>
        <w:t xml:space="preserve">　　七、出借人不得将利息计入本金谋取高利。审理中发现债权人将利息计入本</w:t>
      </w:r>
      <w:r w:rsidR="004F0179">
        <w:rPr>
          <w:rFonts w:ascii="微软雅黑" w:eastAsia="微软雅黑" w:hAnsi="微软雅黑" w:hint="eastAsia"/>
          <w:color w:val="0070C0"/>
          <w:sz w:val="23"/>
          <w:szCs w:val="23"/>
        </w:rPr>
        <w:t>金</w:t>
      </w:r>
      <w:r w:rsidRPr="006515FF">
        <w:rPr>
          <w:rFonts w:ascii="微软雅黑" w:eastAsia="微软雅黑" w:hAnsi="微软雅黑" w:hint="eastAsia"/>
          <w:color w:val="0070C0"/>
          <w:sz w:val="23"/>
          <w:szCs w:val="23"/>
        </w:rPr>
        <w:t>计算复利的，其利率超出第六条规定的限度时，超出部分的利息不予保护。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八、借贷双方对有无约定利率发生争议，又不能证明的，可参照银行同类贷款利率计息。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借贷双方对约定的利率发生争议，又不能证明的，可参照本意见第6条规定计息。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九、公民之间的定期无息借贷，出借人要求借款人偿付逾期利息，或者不定期无息借贷经催告不还，出借人要求偿付催告后利息的，可参照银行同类贷款的利率计息。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、一方以欺诈、胁迫等手段或者乘人之危，使对方在违背真实意思的情况下所形成的借贷关系，应认定为无效。借贷关系无效由债权人的行为引起的，只返还本金;借贷关系无效由债务人的行为引起的，除返还本金外，还应参照银行同类贷款利率给付利息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十一、出借人明知借款人是为了进行非法活动而借款的，其借贷关系不予保护。对双方的违法借贷行为，可按照</w:t>
      </w:r>
      <w:hyperlink r:id="rId7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民法通则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第一百三十四条第三款及《</w:t>
      </w:r>
      <w:hyperlink r:id="rId8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关于贯彻执行(中华人民共和国民法通则)若干问题的意见(试行)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》(以下简称</w:t>
      </w:r>
      <w:hyperlink r:id="rId9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《意见》(试行)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)第163条、164条的规定予以制裁。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 xml:space="preserve">　　十二、公民之间因借贷外币、台币发生纠纷，出借人要求以同类货币偿还的，可以准许。借款人确无同类货币的，可参照偿还时当地外汇调剂价折合人民币偿还。出借人要求偿付利息的，可参照偿还时中国银行外币储蓄利率计息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借贷外汇券发生的纠纷，参照以上原则处理。</w:t>
      </w:r>
    </w:p>
    <w:p w:rsidR="009E56DB" w:rsidRPr="008A169D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0070C0"/>
          <w:sz w:val="23"/>
          <w:szCs w:val="23"/>
        </w:rPr>
      </w:pPr>
      <w:r w:rsidRPr="008A169D">
        <w:rPr>
          <w:rFonts w:ascii="微软雅黑" w:eastAsia="微软雅黑" w:hAnsi="微软雅黑" w:hint="eastAsia"/>
          <w:color w:val="0070C0"/>
          <w:sz w:val="23"/>
          <w:szCs w:val="23"/>
        </w:rPr>
        <w:t xml:space="preserve">　　十三、在借贷关系中，仅起联系、介绍作用的人，不承担保证责任。对债务的履行确有保证意思表示的，应认定为保证人，承担保证责任。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十四、行为人以借款人的名义出具借据代其借款，借款人不承认，行为人又不能证明的，由行为人承担民事责任。</w:t>
      </w:r>
    </w:p>
    <w:p w:rsidR="009E56DB" w:rsidRPr="008A169D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0070C0"/>
          <w:sz w:val="23"/>
          <w:szCs w:val="23"/>
        </w:rPr>
      </w:pPr>
      <w:r w:rsidRPr="008A169D">
        <w:rPr>
          <w:rFonts w:ascii="微软雅黑" w:eastAsia="微软雅黑" w:hAnsi="微软雅黑" w:hint="eastAsia"/>
          <w:color w:val="0070C0"/>
          <w:sz w:val="23"/>
          <w:szCs w:val="23"/>
        </w:rPr>
        <w:t xml:space="preserve">　　十五、合伙经营期间，个人以合伙组织的名义借款，用于合伙经营的，由合伙人共同偿还;借款人不能证明借款用于合伙经营的，由借款人偿还。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十六、有保证人的借贷债务到期后，债务人有清偿能力的，由债务人承担责任;债务人无能力清偿、无法清偿或者债务人下落不明的，由保证人承担连带责任。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借期届满，债务人未偿还欠款，借、贷双方未征求保证人同意而重新对偿还期限或利率达成协议的，保证人不再承担保证责任。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无保证人的借贷纠纷，债务人申请追加新的保证人参加诉讼，法院不应准许。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对保证责任有争议的，按照《意见》(试行)第108条、109条、110条的规定处理。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十七、审理借贷案件时，对于因借贷关系产生的正当的抵押关系应予保护。如发生纠纷，分别按照</w:t>
      </w:r>
      <w:hyperlink r:id="rId10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民法通则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第八十九条第二项以及</w:t>
      </w:r>
      <w:hyperlink r:id="rId11" w:history="1">
        <w:r>
          <w:rPr>
            <w:rStyle w:val="a4"/>
            <w:rFonts w:ascii="微软雅黑" w:eastAsia="微软雅黑" w:hAnsi="微软雅黑" w:hint="eastAsia"/>
            <w:color w:val="FF0000"/>
            <w:sz w:val="23"/>
            <w:szCs w:val="23"/>
            <w:u w:val="none"/>
          </w:rPr>
          <w:t>《意见》(试行)</w:t>
        </w:r>
      </w:hyperlink>
      <w:r>
        <w:rPr>
          <w:rFonts w:ascii="微软雅黑" w:eastAsia="微软雅黑" w:hAnsi="微软雅黑" w:hint="eastAsia"/>
          <w:color w:val="333333"/>
          <w:sz w:val="23"/>
          <w:szCs w:val="23"/>
        </w:rPr>
        <w:t>第112条、113条、114条、115条、</w:t>
      </w:r>
      <w:r w:rsidR="00E520B0">
        <w:rPr>
          <w:rFonts w:ascii="微软雅黑" w:eastAsia="微软雅黑" w:hAnsi="微软雅黑" w:hint="eastAsia"/>
          <w:color w:val="333333"/>
          <w:sz w:val="23"/>
          <w:szCs w:val="23"/>
        </w:rPr>
        <w:t>11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6条的规定处理。</w:t>
      </w:r>
    </w:p>
    <w:p w:rsidR="009E56DB" w:rsidRPr="008A169D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C00000"/>
          <w:sz w:val="23"/>
          <w:szCs w:val="23"/>
        </w:rPr>
      </w:pPr>
      <w:r w:rsidRPr="008A169D">
        <w:rPr>
          <w:rFonts w:ascii="微软雅黑" w:eastAsia="微软雅黑" w:hAnsi="微软雅黑" w:hint="eastAsia"/>
          <w:color w:val="C00000"/>
          <w:sz w:val="23"/>
          <w:szCs w:val="23"/>
        </w:rPr>
        <w:t xml:space="preserve">　　十八、对债务人有可能转移、变卖、隐匿与案件有关的财产的，法院可根据当事人申请或依职权采取查封、扣押、冻结、责令提供担保等财产保全措施。被保全的财物为生产资料的，应责令申请人提供担保。财产保全应根据被保全财产的性质采用妥善的方式，尽可能减少对生产、生活的影响，避免造成财产损失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十九、对债务人一次偿付有困难的借贷案件，法院可以判决或调解分期偿付。根据当事人的给付能力，确定每次给付的数额。</w:t>
      </w:r>
    </w:p>
    <w:p w:rsidR="009E56DB" w:rsidRPr="008A169D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 w:rsidRPr="008A169D"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二十、执行程序中，双方当事人协商以债务人劳务或其他方式清偿债务，不违反法律规定，不损害社会利益和他人利益的，应予准许，并将执行和解协议记录在案。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二十一、</w:t>
      </w:r>
      <w:r w:rsidRPr="008A169D">
        <w:rPr>
          <w:rFonts w:ascii="微软雅黑" w:eastAsia="微软雅黑" w:hAnsi="微软雅黑" w:hint="eastAsia"/>
          <w:color w:val="333333"/>
          <w:sz w:val="23"/>
          <w:szCs w:val="23"/>
        </w:rPr>
        <w:t>被执行人无钱还债，要求以其他财物抵偿债务，申请执行人同意的，应予准许。双方可以协议作价或请有关部门合理作价，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按判决数额将相应部分财物交付申请执行人。</w:t>
      </w:r>
    </w:p>
    <w:p w:rsidR="009E56DB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被执行人无钱还债，要求以债券、股票等有价证券抵偿债务，申请执行人同意的，应予准许;要求以其他债权抵偿债务的，须经申请执行人同意并通知被执行人的债务人，办理相应的债权转移手续。</w:t>
      </w:r>
    </w:p>
    <w:p w:rsidR="009E56DB" w:rsidRPr="008A169D" w:rsidRDefault="009E56DB" w:rsidP="005E5D8C">
      <w:pPr>
        <w:pStyle w:val="a3"/>
        <w:shd w:val="clear" w:color="auto" w:fill="FFFFFF"/>
        <w:spacing w:before="0" w:beforeAutospacing="0" w:after="225" w:afterAutospacing="0" w:line="360" w:lineRule="exact"/>
        <w:rPr>
          <w:rFonts w:ascii="微软雅黑" w:eastAsia="微软雅黑" w:hAnsi="微软雅黑"/>
          <w:color w:val="C00000"/>
          <w:sz w:val="23"/>
          <w:szCs w:val="23"/>
        </w:rPr>
      </w:pPr>
      <w:r w:rsidRPr="008A169D">
        <w:rPr>
          <w:rFonts w:ascii="微软雅黑" w:eastAsia="微软雅黑" w:hAnsi="微软雅黑" w:hint="eastAsia"/>
          <w:color w:val="C00000"/>
          <w:sz w:val="23"/>
          <w:szCs w:val="23"/>
        </w:rPr>
        <w:t xml:space="preserve">　　二十二、被执行人有可能转移、变卖、隐匿被执行财产的，应及时采取执行措施。被执行人抗拒执行构成妨害民事诉讼的，按照民事诉讼法第一百零二条、第二百二十七条的规定处理。</w:t>
      </w:r>
    </w:p>
    <w:p w:rsidR="00BF1C1D" w:rsidRPr="009E56DB" w:rsidRDefault="00BF1C1D"/>
    <w:sectPr w:rsidR="00BF1C1D" w:rsidRPr="009E56DB" w:rsidSect="002669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8C" w:rsidRDefault="005E5D8C" w:rsidP="005E5D8C">
      <w:r>
        <w:separator/>
      </w:r>
    </w:p>
  </w:endnote>
  <w:endnote w:type="continuationSeparator" w:id="0">
    <w:p w:rsidR="005E5D8C" w:rsidRDefault="005E5D8C" w:rsidP="005E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8C" w:rsidRDefault="005E5D8C" w:rsidP="005E5D8C">
      <w:r>
        <w:separator/>
      </w:r>
    </w:p>
  </w:footnote>
  <w:footnote w:type="continuationSeparator" w:id="0">
    <w:p w:rsidR="005E5D8C" w:rsidRDefault="005E5D8C" w:rsidP="005E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6DB"/>
    <w:rsid w:val="00265318"/>
    <w:rsid w:val="0026699C"/>
    <w:rsid w:val="00281E70"/>
    <w:rsid w:val="004F0179"/>
    <w:rsid w:val="005E5D8C"/>
    <w:rsid w:val="006515FF"/>
    <w:rsid w:val="007D4FEB"/>
    <w:rsid w:val="008A169D"/>
    <w:rsid w:val="008A6F37"/>
    <w:rsid w:val="009E56DB"/>
    <w:rsid w:val="00BA0768"/>
    <w:rsid w:val="00BF1C1D"/>
    <w:rsid w:val="00CE5269"/>
    <w:rsid w:val="00E520B0"/>
    <w:rsid w:val="00FD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56D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E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5D8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5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i5.cn/article/71/13836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hui5.cn/article/be/13380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ui5.cn/article/ee/81133.html" TargetMode="External"/><Relationship Id="rId11" Type="http://schemas.openxmlformats.org/officeDocument/2006/relationships/hyperlink" Target="https://www.shui5.cn/article/71/138366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hui5.cn/article/be/13380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hui5.cn/article/71/13836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405</Words>
  <Characters>2315</Characters>
  <Application>Microsoft Office Word</Application>
  <DocSecurity>0</DocSecurity>
  <Lines>19</Lines>
  <Paragraphs>5</Paragraphs>
  <ScaleCrop>false</ScaleCrop>
  <Company>新大榭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newdaxie</dc:creator>
  <cp:lastModifiedBy>Zhanglb</cp:lastModifiedBy>
  <cp:revision>12</cp:revision>
  <cp:lastPrinted>2023-02-09T01:11:00Z</cp:lastPrinted>
  <dcterms:created xsi:type="dcterms:W3CDTF">2023-01-24T16:04:00Z</dcterms:created>
  <dcterms:modified xsi:type="dcterms:W3CDTF">2023-03-10T06:55:00Z</dcterms:modified>
</cp:coreProperties>
</file>